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8BC" w:rsidRPr="007604F2" w:rsidRDefault="008A08BC" w:rsidP="008A08B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8801D8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722C4E" w:rsidRPr="00722C4E">
        <w:rPr>
          <w:rFonts w:ascii="Arial" w:hAnsi="Arial" w:cs="Arial"/>
          <w:b/>
          <w:bCs/>
          <w:noProof/>
          <w:sz w:val="24"/>
          <w:szCs w:val="24"/>
        </w:rPr>
        <w:t>1612936</w:t>
      </w:r>
    </w:p>
    <w:p w:rsidR="003B0D01" w:rsidRDefault="008801D8" w:rsidP="008A08BC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Reno</w:t>
      </w:r>
      <w:r w:rsidR="008A08BC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Nevada</w:t>
      </w:r>
      <w:r w:rsidR="008A08BC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722C4E">
        <w:rPr>
          <w:rFonts w:ascii="Arial" w:hAnsi="Arial" w:cs="Arial"/>
          <w:b/>
          <w:bCs/>
          <w:noProof/>
          <w:sz w:val="24"/>
          <w:szCs w:val="24"/>
        </w:rPr>
        <w:t xml:space="preserve">USA, </w:t>
      </w:r>
      <w:r w:rsidRPr="008801D8">
        <w:rPr>
          <w:rFonts w:ascii="Arial" w:hAnsi="Arial" w:cs="Arial"/>
          <w:b/>
          <w:bCs/>
          <w:noProof/>
          <w:sz w:val="24"/>
          <w:szCs w:val="24"/>
        </w:rPr>
        <w:t>14 - 18 Nov 2016</w:t>
      </w:r>
    </w:p>
    <w:p w:rsidR="003B0D01" w:rsidRPr="00226CA3" w:rsidRDefault="003B0D01" w:rsidP="003B0D01">
      <w:pPr>
        <w:pStyle w:val="FootnoteText"/>
        <w:rPr>
          <w:lang w:val="en-US"/>
        </w:rPr>
      </w:pPr>
    </w:p>
    <w:p w:rsidR="003B0D01" w:rsidRPr="00226CA3" w:rsidRDefault="003B0D01" w:rsidP="003B0D01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Title:</w:t>
      </w:r>
      <w:bookmarkStart w:id="3" w:name="Title"/>
      <w:bookmarkEnd w:id="3"/>
      <w:r w:rsidRPr="003B0D01">
        <w:rPr>
          <w:sz w:val="20"/>
          <w:lang w:val="en-US"/>
        </w:rPr>
        <w:tab/>
      </w:r>
      <w:r w:rsidR="00AE201A">
        <w:rPr>
          <w:sz w:val="20"/>
          <w:lang w:val="en-US"/>
        </w:rPr>
        <w:t>Contents</w:t>
      </w:r>
      <w:r w:rsidR="007D642A">
        <w:rPr>
          <w:sz w:val="20"/>
          <w:lang w:val="en-US"/>
        </w:rPr>
        <w:t xml:space="preserve"> of </w:t>
      </w:r>
      <w:r w:rsidR="003B0D01">
        <w:rPr>
          <w:sz w:val="20"/>
          <w:lang w:val="en-US"/>
        </w:rPr>
        <w:t>PSBCH for V2</w:t>
      </w:r>
      <w:r w:rsidR="00AE201A">
        <w:rPr>
          <w:sz w:val="20"/>
          <w:lang w:val="en-US"/>
        </w:rPr>
        <w:t>X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Agenda Item:</w:t>
      </w:r>
      <w:r w:rsidRPr="003B0D01">
        <w:rPr>
          <w:sz w:val="20"/>
          <w:lang w:val="en-US"/>
        </w:rPr>
        <w:tab/>
      </w:r>
      <w:r w:rsidR="00521BFE">
        <w:rPr>
          <w:sz w:val="20"/>
          <w:lang w:val="en-US"/>
        </w:rPr>
        <w:t>6.2.1.7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Document for:</w:t>
      </w:r>
      <w:r w:rsidRPr="003B0D01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126D70" w:rsidRDefault="00126D70" w:rsidP="005D4AF7">
      <w:pPr>
        <w:pStyle w:val="LGTdoc"/>
        <w:spacing w:afterLines="0" w:after="0" w:line="240" w:lineRule="atLeast"/>
        <w:rPr>
          <w:sz w:val="20"/>
          <w:szCs w:val="20"/>
          <w:lang w:val="en-US"/>
        </w:rPr>
      </w:pPr>
      <w:r w:rsidRPr="005D4AF7">
        <w:rPr>
          <w:sz w:val="20"/>
          <w:szCs w:val="20"/>
          <w:lang w:val="en-US"/>
        </w:rPr>
        <w:t xml:space="preserve">In this paper we discuss </w:t>
      </w:r>
      <w:r w:rsidR="003B72AC" w:rsidRPr="005D4AF7">
        <w:rPr>
          <w:sz w:val="20"/>
          <w:szCs w:val="20"/>
          <w:lang w:val="en-US"/>
        </w:rPr>
        <w:t xml:space="preserve">the outstanding details concerning </w:t>
      </w:r>
      <w:r w:rsidRPr="005D4AF7">
        <w:rPr>
          <w:sz w:val="20"/>
          <w:szCs w:val="20"/>
          <w:lang w:val="en-US"/>
        </w:rPr>
        <w:t xml:space="preserve">PSBCH for </w:t>
      </w:r>
      <w:r w:rsidR="00D27CA2">
        <w:rPr>
          <w:sz w:val="20"/>
          <w:szCs w:val="20"/>
          <w:lang w:val="en-US"/>
        </w:rPr>
        <w:t>V2X</w:t>
      </w:r>
      <w:r w:rsidRPr="005D4AF7">
        <w:rPr>
          <w:sz w:val="20"/>
          <w:szCs w:val="20"/>
          <w:lang w:val="en-US"/>
        </w:rPr>
        <w:t xml:space="preserve">. </w:t>
      </w:r>
      <w:r w:rsidR="003B72AC" w:rsidRPr="005D4AF7">
        <w:rPr>
          <w:sz w:val="20"/>
          <w:szCs w:val="20"/>
          <w:lang w:val="en-US"/>
        </w:rPr>
        <w:t>Background of our discussion is captured in the following agreements:</w:t>
      </w:r>
    </w:p>
    <w:p w:rsidR="005D4AF7" w:rsidRPr="005D4AF7" w:rsidRDefault="005D4AF7" w:rsidP="005D4AF7">
      <w:pPr>
        <w:pStyle w:val="LGTdoc"/>
        <w:spacing w:afterLines="0" w:after="0" w:line="240" w:lineRule="atLeast"/>
        <w:rPr>
          <w:sz w:val="20"/>
          <w:szCs w:val="20"/>
          <w:lang w:val="en-US"/>
        </w:rPr>
      </w:pPr>
    </w:p>
    <w:p w:rsidR="0070058E" w:rsidRPr="0053443D" w:rsidRDefault="0070058E" w:rsidP="0070058E">
      <w:pPr>
        <w:pStyle w:val="LGTdoc"/>
        <w:spacing w:afterLines="0" w:line="240" w:lineRule="atLeast"/>
        <w:rPr>
          <w:b/>
          <w:sz w:val="20"/>
          <w:szCs w:val="20"/>
          <w:u w:val="single"/>
          <w:lang w:val="en-US"/>
        </w:rPr>
      </w:pPr>
      <w:r w:rsidRPr="0044708D">
        <w:rPr>
          <w:rFonts w:eastAsia="MS Mincho" w:hint="eastAsia"/>
          <w:b/>
          <w:sz w:val="20"/>
          <w:szCs w:val="20"/>
          <w:u w:val="single"/>
          <w:lang w:val="en-US" w:eastAsia="ja-JP"/>
        </w:rPr>
        <w:t>Agreements</w:t>
      </w:r>
      <w:r w:rsidRPr="0044708D">
        <w:rPr>
          <w:rFonts w:eastAsia="Malgun Gothic" w:hint="eastAsia"/>
          <w:b/>
          <w:sz w:val="20"/>
          <w:szCs w:val="20"/>
          <w:u w:val="single"/>
          <w:lang w:val="en-US"/>
        </w:rPr>
        <w:t xml:space="preserve"> in RAN1 #85</w:t>
      </w:r>
      <w:r w:rsidRPr="0044708D">
        <w:rPr>
          <w:rFonts w:hint="eastAsia"/>
          <w:b/>
          <w:sz w:val="20"/>
          <w:szCs w:val="20"/>
          <w:u w:val="single"/>
          <w:lang w:val="en-US"/>
        </w:rPr>
        <w:t>:</w:t>
      </w:r>
    </w:p>
    <w:p w:rsidR="0070058E" w:rsidRPr="0044708D" w:rsidRDefault="0070058E" w:rsidP="0044708D">
      <w:pPr>
        <w:numPr>
          <w:ilvl w:val="0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 w:hint="eastAsia"/>
          <w:i/>
          <w:lang w:eastAsia="ko-KR"/>
        </w:rPr>
        <w:t>Working assumption: PSBCH content size is the same as Rel-12.</w:t>
      </w:r>
    </w:p>
    <w:p w:rsidR="0072667E" w:rsidRDefault="0072667E" w:rsidP="0072667E">
      <w:pPr>
        <w:rPr>
          <w:color w:val="FF0000"/>
        </w:rPr>
      </w:pPr>
    </w:p>
    <w:p w:rsidR="0044708D" w:rsidRPr="0044708D" w:rsidRDefault="0044708D" w:rsidP="0044708D">
      <w:pPr>
        <w:rPr>
          <w:rFonts w:eastAsia="Malgun Gothic"/>
          <w:b/>
          <w:u w:val="single"/>
          <w:lang w:eastAsia="ko-KR"/>
        </w:rPr>
      </w:pPr>
      <w:r w:rsidRPr="0044708D">
        <w:rPr>
          <w:rFonts w:eastAsia="Malgun Gothic" w:hint="eastAsia"/>
          <w:b/>
          <w:u w:val="single"/>
          <w:lang w:eastAsia="ko-KR"/>
        </w:rPr>
        <w:t>Agreements</w:t>
      </w:r>
      <w:r w:rsidRPr="0044708D">
        <w:rPr>
          <w:rFonts w:eastAsia="Malgun Gothic"/>
          <w:b/>
          <w:u w:val="single"/>
          <w:lang w:eastAsia="ko-KR"/>
        </w:rPr>
        <w:t xml:space="preserve"> in RAN1 #86bis</w:t>
      </w:r>
      <w:r w:rsidRPr="0044708D">
        <w:rPr>
          <w:rFonts w:eastAsia="Malgun Gothic" w:hint="eastAsia"/>
          <w:b/>
          <w:u w:val="single"/>
          <w:lang w:eastAsia="ko-KR"/>
        </w:rPr>
        <w:t>:</w:t>
      </w:r>
    </w:p>
    <w:p w:rsidR="0044708D" w:rsidRPr="0044708D" w:rsidRDefault="0044708D" w:rsidP="0044708D">
      <w:pPr>
        <w:numPr>
          <w:ilvl w:val="0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/>
          <w:i/>
          <w:lang w:eastAsia="ko-KR"/>
        </w:rPr>
        <w:t>Rel-12 mechanism is re-used to determine the subframe used for transmissions of SLSS/PSBCH from out-coverage UEs synchronized to SLSS</w:t>
      </w:r>
      <w:r w:rsidRPr="0044708D">
        <w:rPr>
          <w:rFonts w:eastAsia="Malgun Gothic" w:hint="eastAsia"/>
          <w:i/>
          <w:lang w:eastAsia="ko-KR"/>
        </w:rPr>
        <w:t>, i.e., two SLSS resources are pre-configured for an out-coverage UE, one is used for SLSS of UE</w:t>
      </w:r>
      <w:r w:rsidRPr="0044708D">
        <w:rPr>
          <w:rFonts w:eastAsia="Malgun Gothic"/>
          <w:i/>
          <w:lang w:eastAsia="ko-KR"/>
        </w:rPr>
        <w:t>’</w:t>
      </w:r>
      <w:r w:rsidRPr="0044708D">
        <w:rPr>
          <w:rFonts w:eastAsia="Malgun Gothic" w:hint="eastAsia"/>
          <w:i/>
          <w:lang w:eastAsia="ko-KR"/>
        </w:rPr>
        <w:t xml:space="preserve">s syncRef and the other is used for SLSS </w:t>
      </w:r>
      <w:r w:rsidRPr="0044708D">
        <w:rPr>
          <w:rFonts w:eastAsia="Malgun Gothic"/>
          <w:i/>
          <w:lang w:eastAsia="ko-KR"/>
        </w:rPr>
        <w:t>transmission</w:t>
      </w:r>
      <w:r w:rsidRPr="0044708D">
        <w:rPr>
          <w:rFonts w:eastAsia="Malgun Gothic" w:hint="eastAsia"/>
          <w:i/>
          <w:lang w:eastAsia="ko-KR"/>
        </w:rPr>
        <w:t xml:space="preserve"> of the UE</w:t>
      </w:r>
      <w:r w:rsidRPr="0044708D">
        <w:rPr>
          <w:rFonts w:eastAsia="Malgun Gothic"/>
          <w:i/>
          <w:lang w:eastAsia="ko-KR"/>
        </w:rPr>
        <w:t>.</w:t>
      </w:r>
    </w:p>
    <w:p w:rsidR="0044708D" w:rsidRPr="0044708D" w:rsidRDefault="0044708D" w:rsidP="0044708D">
      <w:pPr>
        <w:numPr>
          <w:ilvl w:val="0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 w:hint="eastAsia"/>
          <w:i/>
          <w:highlight w:val="darkYellow"/>
          <w:lang w:eastAsia="ko-KR"/>
        </w:rPr>
        <w:t>Working assumption:</w:t>
      </w:r>
      <w:r w:rsidRPr="0044708D">
        <w:rPr>
          <w:rFonts w:eastAsia="Malgun Gothic" w:hint="eastAsia"/>
          <w:i/>
          <w:lang w:eastAsia="ko-KR"/>
        </w:rPr>
        <w:t xml:space="preserve"> An out-coverage UE directly synchronized to GNSS transmits SLSS/PSBCH on the pre-configured sync resource which is one of the two preconfigured sync resources.</w:t>
      </w:r>
    </w:p>
    <w:p w:rsidR="0044708D" w:rsidRPr="0044708D" w:rsidRDefault="0044708D" w:rsidP="0044708D">
      <w:pPr>
        <w:numPr>
          <w:ilvl w:val="1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S Mincho" w:hint="eastAsia"/>
          <w:i/>
          <w:lang w:eastAsia="ja-JP"/>
        </w:rPr>
        <w:t>FFS: O</w:t>
      </w:r>
      <w:r w:rsidRPr="0044708D">
        <w:rPr>
          <w:rFonts w:eastAsia="MS Mincho"/>
          <w:i/>
          <w:lang w:eastAsia="ja-JP"/>
        </w:rPr>
        <w:t>u</w:t>
      </w:r>
      <w:r w:rsidRPr="0044708D">
        <w:rPr>
          <w:rFonts w:eastAsia="MS Mincho" w:hint="eastAsia"/>
          <w:i/>
          <w:lang w:eastAsia="ja-JP"/>
        </w:rPr>
        <w:t>t-coverage UE indirectly synchronized to GNSS</w:t>
      </w:r>
    </w:p>
    <w:p w:rsidR="0044708D" w:rsidRPr="0044708D" w:rsidRDefault="0044708D" w:rsidP="0044708D">
      <w:pPr>
        <w:numPr>
          <w:ilvl w:val="1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 w:hint="eastAsia"/>
          <w:i/>
          <w:lang w:eastAsia="ko-KR"/>
        </w:rPr>
        <w:t>In the other resource, the UE receives PSBCH potentially transmitted from an in-coverage UE.</w:t>
      </w:r>
    </w:p>
    <w:p w:rsidR="0044708D" w:rsidRPr="0044708D" w:rsidRDefault="0044708D" w:rsidP="0044708D">
      <w:pPr>
        <w:numPr>
          <w:ilvl w:val="0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 w:hint="eastAsia"/>
          <w:i/>
          <w:lang w:eastAsia="ko-KR"/>
        </w:rPr>
        <w:t>FFS whether a UE that selected SLSS ID = 0 as its sync reference transmits SLSS = X (FFS 0 or 168) and PSBCH in a different resource.</w:t>
      </w:r>
    </w:p>
    <w:p w:rsidR="0044708D" w:rsidRPr="0044708D" w:rsidRDefault="0044708D" w:rsidP="0044708D">
      <w:pPr>
        <w:numPr>
          <w:ilvl w:val="1"/>
          <w:numId w:val="49"/>
        </w:numPr>
        <w:spacing w:after="0"/>
        <w:rPr>
          <w:rFonts w:eastAsia="Malgun Gothic"/>
          <w:i/>
          <w:lang w:eastAsia="ko-KR"/>
        </w:rPr>
      </w:pPr>
      <w:r w:rsidRPr="0044708D">
        <w:rPr>
          <w:rFonts w:eastAsia="Malgun Gothic" w:hint="eastAsia"/>
          <w:i/>
          <w:lang w:eastAsia="ko-KR"/>
        </w:rPr>
        <w:t>FFS PSBCH content if transmits</w:t>
      </w:r>
    </w:p>
    <w:p w:rsidR="0044708D" w:rsidRDefault="0044708D" w:rsidP="0072667E">
      <w:pPr>
        <w:rPr>
          <w:color w:val="FF0000"/>
        </w:rPr>
      </w:pPr>
    </w:p>
    <w:p w:rsidR="00CF7EC7" w:rsidRDefault="003952BD" w:rsidP="00CF7EC7">
      <w:pPr>
        <w:pStyle w:val="Heading1"/>
      </w:pPr>
      <w:r>
        <w:t>Contents of PSBCH</w:t>
      </w:r>
    </w:p>
    <w:p w:rsidR="004762E8" w:rsidRDefault="00AC2514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propose the following contents for the V2X PSBCH</w:t>
      </w:r>
      <w:r w:rsidR="00AC5DD9">
        <w:rPr>
          <w:spacing w:val="2"/>
          <w:sz w:val="20"/>
          <w:szCs w:val="20"/>
        </w:rPr>
        <w:t>:</w:t>
      </w:r>
    </w:p>
    <w:p w:rsidR="00082319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DFN: 14 bits</w:t>
      </w:r>
    </w:p>
    <w:p w:rsidR="00082319" w:rsidRDefault="00082319" w:rsidP="00082319">
      <w:pPr>
        <w:numPr>
          <w:ilvl w:val="1"/>
          <w:numId w:val="45"/>
        </w:numPr>
        <w:spacing w:after="0"/>
        <w:rPr>
          <w:i/>
        </w:rPr>
      </w:pPr>
      <w:r>
        <w:rPr>
          <w:i/>
        </w:rPr>
        <w:t>direct</w:t>
      </w:r>
      <w:r w:rsidR="00AC2514" w:rsidRPr="005D4AF7">
        <w:rPr>
          <w:i/>
        </w:rPr>
        <w:t xml:space="preserve"> </w:t>
      </w:r>
      <w:r>
        <w:rPr>
          <w:i/>
        </w:rPr>
        <w:t xml:space="preserve">frame number: </w:t>
      </w:r>
      <w:r w:rsidRPr="005D4AF7">
        <w:rPr>
          <w:i/>
        </w:rPr>
        <w:t>10 bits</w:t>
      </w:r>
    </w:p>
    <w:p w:rsidR="00AC2514" w:rsidRPr="005D4AF7" w:rsidRDefault="00082319" w:rsidP="00082319">
      <w:pPr>
        <w:numPr>
          <w:ilvl w:val="1"/>
          <w:numId w:val="45"/>
        </w:numPr>
        <w:spacing w:after="0"/>
        <w:rPr>
          <w:i/>
        </w:rPr>
      </w:pPr>
      <w:r>
        <w:rPr>
          <w:i/>
        </w:rPr>
        <w:t>direct subframe number: 4 bits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TDD UL-DL config</w:t>
      </w:r>
      <w:r w:rsidR="00082319">
        <w:rPr>
          <w:i/>
        </w:rPr>
        <w:t>uration (tdd_ConfigSL-r12)</w:t>
      </w:r>
      <w:r w:rsidRPr="005D4AF7">
        <w:rPr>
          <w:i/>
        </w:rPr>
        <w:t xml:space="preserve">: 3 bits: </w:t>
      </w:r>
    </w:p>
    <w:p w:rsidR="00AC2514" w:rsidRPr="00082319" w:rsidRDefault="00AC2514" w:rsidP="00AC2514">
      <w:pPr>
        <w:numPr>
          <w:ilvl w:val="1"/>
          <w:numId w:val="45"/>
        </w:numPr>
        <w:spacing w:after="0"/>
        <w:rPr>
          <w:i/>
        </w:rPr>
      </w:pPr>
      <w:r w:rsidRPr="00082319">
        <w:rPr>
          <w:i/>
        </w:rPr>
        <w:t>In case of FDD, this field is set to 000</w:t>
      </w:r>
      <w:r w:rsidR="00082319" w:rsidRPr="00082319">
        <w:rPr>
          <w:i/>
        </w:rPr>
        <w:t>.</w:t>
      </w:r>
    </w:p>
    <w:p w:rsidR="00AC2514" w:rsidRPr="00082319" w:rsidRDefault="00AC2514" w:rsidP="00AC2514">
      <w:pPr>
        <w:numPr>
          <w:ilvl w:val="1"/>
          <w:numId w:val="45"/>
        </w:numPr>
        <w:spacing w:after="0"/>
        <w:rPr>
          <w:i/>
        </w:rPr>
      </w:pPr>
      <w:r w:rsidRPr="00082319">
        <w:rPr>
          <w:i/>
        </w:rPr>
        <w:t>The UE is assumed to know a priori the duplex mode of the carrier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In-coverage indicator: 1 bit</w:t>
      </w:r>
    </w:p>
    <w:p w:rsidR="00AC2514" w:rsidRPr="005D4AF7" w:rsidRDefault="00AC2514" w:rsidP="00AC2514">
      <w:pPr>
        <w:numPr>
          <w:ilvl w:val="0"/>
          <w:numId w:val="45"/>
        </w:numPr>
        <w:spacing w:after="0"/>
        <w:rPr>
          <w:i/>
        </w:rPr>
      </w:pPr>
      <w:r w:rsidRPr="005D4AF7">
        <w:rPr>
          <w:i/>
        </w:rPr>
        <w:t>Sidelink system bandwidth: 3 bits</w:t>
      </w:r>
    </w:p>
    <w:p w:rsidR="00AC2514" w:rsidRDefault="00AC2514" w:rsidP="00AC2514">
      <w:pPr>
        <w:numPr>
          <w:ilvl w:val="0"/>
          <w:numId w:val="45"/>
        </w:numPr>
        <w:spacing w:after="0"/>
      </w:pPr>
      <w:r w:rsidRPr="005D4AF7">
        <w:rPr>
          <w:i/>
        </w:rPr>
        <w:t>Reserved field: FFS bits set to a SIB-signalled or preconfigured value in V2X PSBCH</w:t>
      </w:r>
      <w:r>
        <w:t>.</w:t>
      </w:r>
    </w:p>
    <w:p w:rsidR="005D4AF7" w:rsidRDefault="005D4AF7" w:rsidP="00824DE9">
      <w:pPr>
        <w:jc w:val="both"/>
      </w:pPr>
    </w:p>
    <w:p w:rsidR="00AC2514" w:rsidRDefault="00AC2514" w:rsidP="00824DE9">
      <w:pPr>
        <w:jc w:val="both"/>
      </w:pPr>
      <w:r>
        <w:t>The contents are identical to Rel-12 except for the length of the reserved field. Due to the reduction in REs available to PSBCH in V2X compared to Rel-12 we suggest to re-evaluate the length of the reserved field in order to meet</w:t>
      </w:r>
      <w:r w:rsidR="00CC13A3">
        <w:t xml:space="preserve"> </w:t>
      </w:r>
      <w:r>
        <w:t>a reasonable link budget requirement.</w:t>
      </w:r>
      <w:r w:rsidR="00734A70">
        <w:t xml:space="preserve"> </w:t>
      </w:r>
    </w:p>
    <w:p w:rsidR="00AC2514" w:rsidRPr="00AC2514" w:rsidRDefault="00AC2514" w:rsidP="00824DE9">
      <w:pPr>
        <w:jc w:val="both"/>
        <w:rPr>
          <w:b/>
          <w:i/>
        </w:rPr>
      </w:pPr>
      <w:r w:rsidRPr="00AC2514">
        <w:rPr>
          <w:b/>
          <w:i/>
        </w:rPr>
        <w:t>Proposal:</w:t>
      </w:r>
    </w:p>
    <w:p w:rsidR="00AC2514" w:rsidRDefault="00AC2514" w:rsidP="00AC2514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 xml:space="preserve">V2X PSBCH content is the same as Rel-12 </w:t>
      </w:r>
      <w:r w:rsidR="00B86324">
        <w:rPr>
          <w:rFonts w:ascii="Times New Roman" w:hAnsi="Times New Roman" w:cs="Times New Roman"/>
          <w:b/>
          <w:i/>
          <w:sz w:val="20"/>
          <w:szCs w:val="20"/>
        </w:rPr>
        <w:t>PSBCH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734A70" w:rsidRPr="00AC2514" w:rsidRDefault="00734A70" w:rsidP="00AC2514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PSBCH does not signal any </w:t>
      </w:r>
      <w:r w:rsidR="007B6073">
        <w:rPr>
          <w:rFonts w:ascii="Times New Roman" w:hAnsi="Times New Roman" w:cs="Times New Roman"/>
          <w:b/>
          <w:i/>
          <w:sz w:val="20"/>
          <w:szCs w:val="20"/>
        </w:rPr>
        <w:t xml:space="preserve">other </w:t>
      </w:r>
      <w:r>
        <w:rPr>
          <w:rFonts w:ascii="Times New Roman" w:hAnsi="Times New Roman" w:cs="Times New Roman"/>
          <w:b/>
          <w:i/>
          <w:sz w:val="20"/>
          <w:szCs w:val="20"/>
        </w:rPr>
        <w:t>parameter that is not mandatory for protecting the network.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  <w:r>
        <w:t xml:space="preserve"> </w:t>
      </w:r>
    </w:p>
    <w:p w:rsidR="00D0339F" w:rsidRPr="00744368" w:rsidRDefault="00D0339F" w:rsidP="00BB2B22">
      <w:pPr>
        <w:pStyle w:val="Heading1"/>
      </w:pPr>
      <w:r w:rsidRPr="00744368">
        <w:t>Conclusion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 xml:space="preserve">In this contribution we discuss </w:t>
      </w:r>
      <w:r w:rsidR="00854945">
        <w:rPr>
          <w:spacing w:val="2"/>
          <w:sz w:val="20"/>
          <w:szCs w:val="20"/>
        </w:rPr>
        <w:t xml:space="preserve">outstanding details of </w:t>
      </w:r>
      <w:r w:rsidR="00AC2514">
        <w:rPr>
          <w:spacing w:val="2"/>
          <w:sz w:val="20"/>
          <w:szCs w:val="20"/>
        </w:rPr>
        <w:t>PSBCH</w:t>
      </w:r>
      <w:r w:rsidR="00824DE9">
        <w:rPr>
          <w:spacing w:val="2"/>
          <w:sz w:val="20"/>
          <w:szCs w:val="20"/>
        </w:rPr>
        <w:t>:</w:t>
      </w:r>
    </w:p>
    <w:p w:rsidR="00722C4E" w:rsidRDefault="00722C4E" w:rsidP="007B6073">
      <w:pPr>
        <w:jc w:val="both"/>
        <w:rPr>
          <w:b/>
          <w:i/>
        </w:rPr>
      </w:pPr>
    </w:p>
    <w:p w:rsidR="007B6073" w:rsidRPr="00AC2514" w:rsidRDefault="007B6073" w:rsidP="007B6073">
      <w:pPr>
        <w:jc w:val="both"/>
        <w:rPr>
          <w:b/>
          <w:i/>
        </w:rPr>
      </w:pPr>
      <w:r w:rsidRPr="00AC2514">
        <w:rPr>
          <w:b/>
          <w:i/>
        </w:rPr>
        <w:lastRenderedPageBreak/>
        <w:t>Proposal:</w:t>
      </w:r>
    </w:p>
    <w:p w:rsidR="007B6073" w:rsidRDefault="007B6073" w:rsidP="007B6073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 xml:space="preserve">V2X PSBCH content is the same as Rel-12 </w:t>
      </w:r>
      <w:r>
        <w:rPr>
          <w:rFonts w:ascii="Times New Roman" w:hAnsi="Times New Roman" w:cs="Times New Roman"/>
          <w:b/>
          <w:i/>
          <w:sz w:val="20"/>
          <w:szCs w:val="20"/>
        </w:rPr>
        <w:t>PSBCH.</w:t>
      </w:r>
    </w:p>
    <w:p w:rsidR="007B6073" w:rsidRPr="00AC2514" w:rsidRDefault="007B6073" w:rsidP="007B6073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PSBCH does not signal any other parameter that is not mandatory for protecting the network.</w:t>
      </w:r>
    </w:p>
    <w:p w:rsidR="007B6073" w:rsidRPr="007B6073" w:rsidRDefault="007B6073" w:rsidP="007B6073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824DE9" w:rsidRPr="00AC2514" w:rsidRDefault="00AC2514" w:rsidP="005D4AF7">
      <w:pPr>
        <w:pStyle w:val="ListParagraph"/>
        <w:jc w:val="both"/>
      </w:pPr>
      <w:r>
        <w:t xml:space="preserve"> 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1D7FD8" w:rsidRPr="005E0380" w:rsidRDefault="001D7FD8" w:rsidP="00B707F1"/>
    <w:sectPr w:rsidR="001D7FD8" w:rsidRPr="005E0380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1BD" w:rsidRDefault="00CC51BD">
      <w:r>
        <w:separator/>
      </w:r>
    </w:p>
  </w:endnote>
  <w:endnote w:type="continuationSeparator" w:id="0">
    <w:p w:rsidR="00CC51BD" w:rsidRDefault="00CC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1BD" w:rsidRDefault="00CC51BD">
      <w:r>
        <w:separator/>
      </w:r>
    </w:p>
  </w:footnote>
  <w:footnote w:type="continuationSeparator" w:id="0">
    <w:p w:rsidR="00CC51BD" w:rsidRDefault="00CC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737AF"/>
    <w:multiLevelType w:val="hybridMultilevel"/>
    <w:tmpl w:val="9EE2DEA2"/>
    <w:lvl w:ilvl="0" w:tplc="62E0C1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EE4A03"/>
    <w:multiLevelType w:val="hybridMultilevel"/>
    <w:tmpl w:val="1C544C3C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9616F6"/>
    <w:multiLevelType w:val="hybridMultilevel"/>
    <w:tmpl w:val="2A6E30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75AD8"/>
    <w:multiLevelType w:val="hybridMultilevel"/>
    <w:tmpl w:val="08502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8"/>
  </w:num>
  <w:num w:numId="3">
    <w:abstractNumId w:val="43"/>
  </w:num>
  <w:num w:numId="4">
    <w:abstractNumId w:val="17"/>
  </w:num>
  <w:num w:numId="5">
    <w:abstractNumId w:val="25"/>
  </w:num>
  <w:num w:numId="6">
    <w:abstractNumId w:val="49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9"/>
  </w:num>
  <w:num w:numId="13">
    <w:abstractNumId w:val="35"/>
  </w:num>
  <w:num w:numId="14">
    <w:abstractNumId w:val="42"/>
  </w:num>
  <w:num w:numId="15">
    <w:abstractNumId w:val="36"/>
  </w:num>
  <w:num w:numId="16">
    <w:abstractNumId w:val="6"/>
  </w:num>
  <w:num w:numId="17">
    <w:abstractNumId w:val="21"/>
  </w:num>
  <w:num w:numId="18">
    <w:abstractNumId w:val="2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6"/>
  </w:num>
  <w:num w:numId="22">
    <w:abstractNumId w:val="27"/>
  </w:num>
  <w:num w:numId="23">
    <w:abstractNumId w:val="15"/>
  </w:num>
  <w:num w:numId="24">
    <w:abstractNumId w:val="29"/>
  </w:num>
  <w:num w:numId="25">
    <w:abstractNumId w:val="16"/>
  </w:num>
  <w:num w:numId="26">
    <w:abstractNumId w:val="26"/>
  </w:num>
  <w:num w:numId="27">
    <w:abstractNumId w:val="12"/>
  </w:num>
  <w:num w:numId="28">
    <w:abstractNumId w:val="40"/>
  </w:num>
  <w:num w:numId="29">
    <w:abstractNumId w:val="18"/>
  </w:num>
  <w:num w:numId="30">
    <w:abstractNumId w:val="30"/>
  </w:num>
  <w:num w:numId="31">
    <w:abstractNumId w:val="20"/>
  </w:num>
  <w:num w:numId="32">
    <w:abstractNumId w:val="38"/>
  </w:num>
  <w:num w:numId="33">
    <w:abstractNumId w:val="7"/>
  </w:num>
  <w:num w:numId="34">
    <w:abstractNumId w:val="14"/>
  </w:num>
  <w:num w:numId="35">
    <w:abstractNumId w:val="47"/>
  </w:num>
  <w:num w:numId="36">
    <w:abstractNumId w:val="31"/>
  </w:num>
  <w:num w:numId="37">
    <w:abstractNumId w:val="23"/>
  </w:num>
  <w:num w:numId="38">
    <w:abstractNumId w:val="44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2"/>
  </w:num>
  <w:num w:numId="45">
    <w:abstractNumId w:val="10"/>
  </w:num>
  <w:num w:numId="46">
    <w:abstractNumId w:val="13"/>
  </w:num>
  <w:num w:numId="47">
    <w:abstractNumId w:val="45"/>
  </w:num>
  <w:num w:numId="48">
    <w:abstractNumId w:val="8"/>
  </w:num>
  <w:num w:numId="49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19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1BB6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3D3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6D70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1A5"/>
    <w:rsid w:val="001442E6"/>
    <w:rsid w:val="001443C7"/>
    <w:rsid w:val="00144548"/>
    <w:rsid w:val="001447DF"/>
    <w:rsid w:val="00144B3E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B50"/>
    <w:rsid w:val="002656C7"/>
    <w:rsid w:val="002658C0"/>
    <w:rsid w:val="00265C4B"/>
    <w:rsid w:val="002662B7"/>
    <w:rsid w:val="00266979"/>
    <w:rsid w:val="00266E8D"/>
    <w:rsid w:val="00266F1D"/>
    <w:rsid w:val="00266FB2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05F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2BD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4B67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D0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2AC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82F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D66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B33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08D"/>
    <w:rsid w:val="00447385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02F"/>
    <w:rsid w:val="004747DD"/>
    <w:rsid w:val="00474843"/>
    <w:rsid w:val="004748D9"/>
    <w:rsid w:val="00474BB7"/>
    <w:rsid w:val="00474F91"/>
    <w:rsid w:val="00475065"/>
    <w:rsid w:val="004753AA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1BFE"/>
    <w:rsid w:val="005220E2"/>
    <w:rsid w:val="005220E8"/>
    <w:rsid w:val="00522C62"/>
    <w:rsid w:val="00522F4F"/>
    <w:rsid w:val="0052355E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A17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AF7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5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C4E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667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A70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7F6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522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8F8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073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42A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5E14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297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945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1CA9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1D8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8BC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71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E79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2CA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514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01A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324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CE1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2919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3A3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1BD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CA2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4C9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20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9F7"/>
    <w:rsid w:val="00E56DB8"/>
    <w:rsid w:val="00E57BB3"/>
    <w:rsid w:val="00E60990"/>
    <w:rsid w:val="00E60A3C"/>
    <w:rsid w:val="00E60DEC"/>
    <w:rsid w:val="00E6132B"/>
    <w:rsid w:val="00E61DCA"/>
    <w:rsid w:val="00E629A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21A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0BE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0D7B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413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CD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2016-02-01T13:00:00Z</dcterms:created>
  <dcterms:modified xsi:type="dcterms:W3CDTF">2016-11-04T14:59:00Z</dcterms:modified>
</cp:coreProperties>
</file>